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529" w:rsidRDefault="007103E0">
      <w:pPr>
        <w:pStyle w:val="Standard"/>
        <w:jc w:val="center"/>
        <w:rPr>
          <w:rFonts w:hint="eastAsia"/>
        </w:rPr>
      </w:pPr>
      <w:r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           </w:t>
      </w:r>
      <w:r>
        <w:rPr>
          <w:rFonts w:ascii="Bookman Old Style" w:hAnsi="Bookman Old Style" w:cs="Bookman Old Style"/>
          <w:b/>
          <w:noProof/>
          <w:sz w:val="22"/>
          <w:szCs w:val="22"/>
        </w:rPr>
        <w:drawing>
          <wp:inline distT="0" distB="0" distL="0" distR="0">
            <wp:extent cx="751680" cy="932040"/>
            <wp:effectExtent l="0" t="0" r="0" b="1410"/>
            <wp:docPr id="1" name="Im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 l="-239" t="-192" r="-239" b="-192"/>
                    <a:stretch>
                      <a:fillRect/>
                    </a:stretch>
                  </pic:blipFill>
                  <pic:spPr>
                    <a:xfrm>
                      <a:off x="0" y="0"/>
                      <a:ext cx="751680" cy="9320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="Bookman Old Style"/>
          <w:b/>
          <w:noProof/>
          <w:sz w:val="22"/>
          <w:szCs w:val="22"/>
        </w:rPr>
        <w:drawing>
          <wp:inline distT="0" distB="0" distL="0" distR="0">
            <wp:extent cx="818640" cy="969480"/>
            <wp:effectExtent l="0" t="0" r="510" b="2070"/>
            <wp:docPr id="2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 l="-220" t="-185" r="-220" b="-185"/>
                    <a:stretch>
                      <a:fillRect/>
                    </a:stretch>
                  </pic:blipFill>
                  <pic:spPr>
                    <a:xfrm>
                      <a:off x="0" y="0"/>
                      <a:ext cx="818640" cy="9694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73529" w:rsidRDefault="007103E0">
      <w:pPr>
        <w:pStyle w:val="Standard"/>
        <w:jc w:val="center"/>
        <w:rPr>
          <w:rFonts w:ascii="Bookman Old Style" w:hAnsi="Bookman Old Style" w:cs="Bookman Old Style"/>
          <w:b/>
          <w:sz w:val="22"/>
          <w:szCs w:val="22"/>
        </w:rPr>
      </w:pPr>
      <w:r>
        <w:rPr>
          <w:rFonts w:ascii="Bookman Old Style" w:hAnsi="Bookman Old Style" w:cs="Bookman Old Style"/>
          <w:b/>
          <w:sz w:val="22"/>
          <w:szCs w:val="22"/>
        </w:rPr>
        <w:t>Comune di Aidone</w:t>
      </w:r>
    </w:p>
    <w:p w:rsidR="00673529" w:rsidRDefault="007103E0">
      <w:pPr>
        <w:pStyle w:val="Standard"/>
        <w:jc w:val="center"/>
        <w:rPr>
          <w:rFonts w:ascii="Bookman Old Style" w:hAnsi="Bookman Old Style" w:cs="Bookman Old Style"/>
          <w:i/>
          <w:sz w:val="22"/>
          <w:szCs w:val="22"/>
        </w:rPr>
      </w:pPr>
      <w:r>
        <w:rPr>
          <w:rFonts w:ascii="Bookman Old Style" w:hAnsi="Bookman Old Style" w:cs="Bookman Old Style"/>
          <w:i/>
          <w:sz w:val="22"/>
          <w:szCs w:val="22"/>
        </w:rPr>
        <w:t>Regione Siciliana</w:t>
      </w:r>
    </w:p>
    <w:p w:rsidR="00673529" w:rsidRDefault="007103E0" w:rsidP="00DF441E">
      <w:pPr>
        <w:pStyle w:val="Standard"/>
        <w:jc w:val="center"/>
        <w:rPr>
          <w:rFonts w:ascii="Bookman Old Style" w:hAnsi="Bookman Old Style" w:cs="Bookman Old Style"/>
          <w:i/>
          <w:sz w:val="22"/>
          <w:szCs w:val="22"/>
        </w:rPr>
      </w:pPr>
      <w:r>
        <w:rPr>
          <w:rFonts w:ascii="Bookman Old Style" w:hAnsi="Bookman Old Style" w:cs="Bookman Old Style"/>
          <w:i/>
          <w:sz w:val="22"/>
          <w:szCs w:val="22"/>
        </w:rPr>
        <w:t>Libero Consorzio Comunale di Enna</w:t>
      </w:r>
    </w:p>
    <w:p w:rsidR="008B16E2" w:rsidRPr="008B16E2" w:rsidRDefault="008B16E2" w:rsidP="008B16E2">
      <w:pPr>
        <w:pStyle w:val="Titolo1"/>
        <w:jc w:val="center"/>
        <w:rPr>
          <w:rFonts w:ascii="Times New Roman" w:hAnsi="Times New Roman" w:cs="Times New Roman"/>
          <w:b/>
          <w:color w:val="auto"/>
        </w:rPr>
      </w:pPr>
      <w:r w:rsidRPr="008B16E2">
        <w:rPr>
          <w:rFonts w:ascii="Times New Roman" w:hAnsi="Times New Roman" w:cs="Times New Roman"/>
          <w:b/>
          <w:color w:val="auto"/>
        </w:rPr>
        <w:t>ALLEGATO E</w:t>
      </w:r>
    </w:p>
    <w:p w:rsidR="008B16E2" w:rsidRPr="00586835" w:rsidRDefault="008B16E2" w:rsidP="00586835">
      <w:pPr>
        <w:pStyle w:val="Titolo2"/>
        <w:jc w:val="center"/>
        <w:rPr>
          <w:rFonts w:ascii="Times New Roman" w:hAnsi="Times New Roman" w:cs="Times New Roman"/>
          <w:b/>
          <w:color w:val="auto"/>
        </w:rPr>
      </w:pPr>
      <w:r w:rsidRPr="008B16E2">
        <w:rPr>
          <w:rFonts w:ascii="Times New Roman" w:hAnsi="Times New Roman" w:cs="Times New Roman"/>
          <w:b/>
          <w:color w:val="auto"/>
        </w:rPr>
        <w:t>GRIGLIA ANALITICA DI VALUTAZIONE</w:t>
      </w:r>
      <w:bookmarkStart w:id="0" w:name="_GoBack"/>
      <w:bookmarkEnd w:id="0"/>
    </w:p>
    <w:tbl>
      <w:tblPr>
        <w:tblW w:w="962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48"/>
        <w:gridCol w:w="1079"/>
      </w:tblGrid>
      <w:tr w:rsidR="008B16E2" w:rsidTr="008B16E2">
        <w:trPr>
          <w:trHeight w:val="274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Criterio</w:t>
            </w:r>
          </w:p>
        </w:tc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Punti</w:t>
            </w:r>
          </w:p>
        </w:tc>
      </w:tr>
      <w:tr w:rsidR="008B16E2" w:rsidTr="008B16E2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A. Esperienza specifica nei servizi 0-3/0-6</w:t>
            </w:r>
          </w:p>
        </w:tc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15</w:t>
            </w:r>
          </w:p>
        </w:tc>
      </w:tr>
      <w:tr w:rsidR="008B16E2" w:rsidTr="008B16E2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B. Qualità pedagogica della proposta</w:t>
            </w:r>
          </w:p>
        </w:tc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25</w:t>
            </w:r>
          </w:p>
        </w:tc>
      </w:tr>
      <w:tr w:rsidR="008B16E2" w:rsidTr="008B16E2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C. Modello di integrazione con l’équipe comunale</w:t>
            </w:r>
          </w:p>
        </w:tc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15</w:t>
            </w:r>
          </w:p>
        </w:tc>
      </w:tr>
      <w:tr w:rsidR="008B16E2" w:rsidTr="008B16E2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D. Organizzazione, professionalità e continuità</w:t>
            </w:r>
          </w:p>
        </w:tc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15</w:t>
            </w:r>
          </w:p>
        </w:tc>
      </w:tr>
      <w:tr w:rsidR="008B16E2" w:rsidTr="008B16E2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E. Coordinamento, formazione e supervisione</w:t>
            </w:r>
          </w:p>
        </w:tc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10</w:t>
            </w:r>
          </w:p>
        </w:tc>
      </w:tr>
      <w:tr w:rsidR="008B16E2" w:rsidTr="008B16E2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F. Inclusione e coinvolgimento famiglie</w:t>
            </w:r>
          </w:p>
        </w:tc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8</w:t>
            </w:r>
          </w:p>
        </w:tc>
      </w:tr>
      <w:tr w:rsidR="008B16E2" w:rsidTr="008B16E2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G. Monitoraggio e valutazione</w:t>
            </w:r>
          </w:p>
        </w:tc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5</w:t>
            </w:r>
          </w:p>
        </w:tc>
      </w:tr>
      <w:tr w:rsidR="008B16E2" w:rsidTr="008B16E2">
        <w:trPr>
          <w:trHeight w:val="290"/>
          <w:tblCellSpacing w:w="15" w:type="dxa"/>
        </w:trPr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H. Apporti ulteriori dell’ETS</w:t>
            </w:r>
          </w:p>
        </w:tc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t>7</w:t>
            </w:r>
          </w:p>
        </w:tc>
      </w:tr>
      <w:tr w:rsidR="008B16E2" w:rsidTr="008B16E2">
        <w:trPr>
          <w:trHeight w:val="274"/>
          <w:tblCellSpacing w:w="15" w:type="dxa"/>
        </w:trPr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rPr>
                <w:rStyle w:val="Enfasigrassetto"/>
              </w:rPr>
              <w:t>TOTALE</w:t>
            </w:r>
          </w:p>
        </w:tc>
        <w:tc>
          <w:tcPr>
            <w:tcW w:w="0" w:type="auto"/>
            <w:vAlign w:val="center"/>
            <w:hideMark/>
          </w:tcPr>
          <w:p w:rsidR="008B16E2" w:rsidRDefault="008B16E2" w:rsidP="007F1DFB">
            <w:pPr>
              <w:rPr>
                <w:rFonts w:hint="eastAsia"/>
              </w:rPr>
            </w:pPr>
            <w:r>
              <w:rPr>
                <w:rStyle w:val="Enfasigrassetto"/>
              </w:rPr>
              <w:t>100</w:t>
            </w:r>
          </w:p>
        </w:tc>
      </w:tr>
    </w:tbl>
    <w:p w:rsidR="008B16E2" w:rsidRPr="008B16E2" w:rsidRDefault="008B16E2" w:rsidP="008B16E2">
      <w:pPr>
        <w:pStyle w:val="Titolo3"/>
        <w:rPr>
          <w:rFonts w:ascii="Liberation Serif" w:eastAsia="NSimSun" w:hAnsi="Liberation Serif" w:cs="Arial" w:hint="eastAsia"/>
          <w:b/>
          <w:bCs/>
          <w:color w:val="auto"/>
          <w:szCs w:val="24"/>
        </w:rPr>
      </w:pPr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A – Esperienza – </w:t>
      </w:r>
      <w:proofErr w:type="spellStart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>max</w:t>
      </w:r>
      <w:proofErr w:type="spellEnd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 15</w:t>
      </w:r>
    </w:p>
    <w:p w:rsidR="008B16E2" w:rsidRDefault="008B16E2" w:rsidP="008B16E2">
      <w:pPr>
        <w:pStyle w:val="NormaleWeb"/>
      </w:pPr>
      <w:r>
        <w:t>Valutazione dell’esperienza specifica e documentata nella gestione/realizzazione di servizi educativi per la prima infanzia.</w:t>
      </w:r>
    </w:p>
    <w:p w:rsidR="008B16E2" w:rsidRPr="008B16E2" w:rsidRDefault="008B16E2" w:rsidP="008B16E2">
      <w:pPr>
        <w:pStyle w:val="Titolo3"/>
        <w:rPr>
          <w:rFonts w:ascii="Liberation Serif" w:eastAsia="NSimSun" w:hAnsi="Liberation Serif" w:cs="Arial" w:hint="eastAsia"/>
          <w:b/>
          <w:bCs/>
          <w:color w:val="auto"/>
          <w:szCs w:val="24"/>
        </w:rPr>
      </w:pPr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B – Qualità pedagogica – </w:t>
      </w:r>
      <w:proofErr w:type="spellStart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>max</w:t>
      </w:r>
      <w:proofErr w:type="spellEnd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 25</w:t>
      </w:r>
    </w:p>
    <w:p w:rsidR="008B16E2" w:rsidRDefault="008B16E2" w:rsidP="008B16E2">
      <w:pPr>
        <w:pStyle w:val="NormaleWeb"/>
      </w:pPr>
      <w:r>
        <w:t>Coerenza, qualità, concretezza e adeguatezza del modello pedagogico e delle attività proposte.</w:t>
      </w:r>
    </w:p>
    <w:p w:rsidR="008B16E2" w:rsidRPr="008B16E2" w:rsidRDefault="008B16E2" w:rsidP="008B16E2">
      <w:pPr>
        <w:pStyle w:val="Titolo3"/>
        <w:rPr>
          <w:rFonts w:ascii="Liberation Serif" w:eastAsia="NSimSun" w:hAnsi="Liberation Serif" w:cs="Arial" w:hint="eastAsia"/>
          <w:b/>
          <w:bCs/>
          <w:color w:val="auto"/>
          <w:szCs w:val="24"/>
        </w:rPr>
      </w:pPr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C – Integrazione con équipe comunale – </w:t>
      </w:r>
      <w:proofErr w:type="spellStart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>max</w:t>
      </w:r>
      <w:proofErr w:type="spellEnd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 15</w:t>
      </w:r>
    </w:p>
    <w:p w:rsidR="008B16E2" w:rsidRDefault="008B16E2" w:rsidP="008B16E2">
      <w:pPr>
        <w:pStyle w:val="NormaleWeb"/>
      </w:pPr>
      <w:r>
        <w:t>Saranno valutati programmazione congiunta, raccordo operativo, riunioni d’équipe, condivisione metodologica e capacità di costruire un progetto unitario.</w:t>
      </w:r>
    </w:p>
    <w:p w:rsidR="008B16E2" w:rsidRPr="008B16E2" w:rsidRDefault="008B16E2" w:rsidP="008B16E2">
      <w:pPr>
        <w:pStyle w:val="Titolo3"/>
        <w:rPr>
          <w:rFonts w:ascii="Liberation Serif" w:eastAsia="NSimSun" w:hAnsi="Liberation Serif" w:cs="Arial" w:hint="eastAsia"/>
          <w:b/>
          <w:bCs/>
          <w:color w:val="auto"/>
          <w:szCs w:val="24"/>
        </w:rPr>
      </w:pPr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D – Organizzazione e professionalità – </w:t>
      </w:r>
      <w:proofErr w:type="spellStart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>max</w:t>
      </w:r>
      <w:proofErr w:type="spellEnd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 15</w:t>
      </w:r>
    </w:p>
    <w:p w:rsidR="008B16E2" w:rsidRDefault="008B16E2" w:rsidP="008B16E2">
      <w:pPr>
        <w:pStyle w:val="NormaleWeb"/>
      </w:pPr>
      <w:r>
        <w:t>Qualificazione degli educatori, esperienza, organizzazione delle 72 ore complessive settimanali, continuità e sostituzioni.</w:t>
      </w:r>
    </w:p>
    <w:p w:rsidR="008B16E2" w:rsidRPr="008B16E2" w:rsidRDefault="008B16E2" w:rsidP="008B16E2">
      <w:pPr>
        <w:pStyle w:val="Titolo3"/>
        <w:rPr>
          <w:rFonts w:ascii="Liberation Serif" w:eastAsia="NSimSun" w:hAnsi="Liberation Serif" w:cs="Arial" w:hint="eastAsia"/>
          <w:b/>
          <w:bCs/>
          <w:color w:val="auto"/>
          <w:szCs w:val="24"/>
        </w:rPr>
      </w:pPr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E – Coordinamento/formazione – </w:t>
      </w:r>
      <w:proofErr w:type="spellStart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>max</w:t>
      </w:r>
      <w:proofErr w:type="spellEnd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 10</w:t>
      </w:r>
    </w:p>
    <w:p w:rsidR="008B16E2" w:rsidRDefault="008B16E2" w:rsidP="008B16E2">
      <w:pPr>
        <w:pStyle w:val="NormaleWeb"/>
      </w:pPr>
      <w:r>
        <w:t>Qualità del coordinamento pedagogico, supervisione e piano formativo.</w:t>
      </w:r>
    </w:p>
    <w:p w:rsidR="008B16E2" w:rsidRPr="008B16E2" w:rsidRDefault="008B16E2" w:rsidP="008B16E2">
      <w:pPr>
        <w:pStyle w:val="Titolo3"/>
        <w:rPr>
          <w:rFonts w:ascii="Liberation Serif" w:eastAsia="NSimSun" w:hAnsi="Liberation Serif" w:cs="Arial" w:hint="eastAsia"/>
          <w:b/>
          <w:bCs/>
          <w:color w:val="auto"/>
          <w:szCs w:val="24"/>
        </w:rPr>
      </w:pPr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F – Inclusione/famiglie – </w:t>
      </w:r>
      <w:proofErr w:type="spellStart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>max</w:t>
      </w:r>
      <w:proofErr w:type="spellEnd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 8</w:t>
      </w:r>
    </w:p>
    <w:p w:rsidR="008B16E2" w:rsidRDefault="008B16E2" w:rsidP="008B16E2">
      <w:pPr>
        <w:pStyle w:val="NormaleWeb"/>
      </w:pPr>
      <w:r>
        <w:t>Azioni inclusive, personalizzazione e coinvolgimento delle famiglie.</w:t>
      </w:r>
    </w:p>
    <w:p w:rsidR="008B16E2" w:rsidRPr="008B16E2" w:rsidRDefault="008B16E2" w:rsidP="008B16E2">
      <w:pPr>
        <w:pStyle w:val="Titolo3"/>
        <w:rPr>
          <w:rFonts w:ascii="Liberation Serif" w:eastAsia="NSimSun" w:hAnsi="Liberation Serif" w:cs="Arial" w:hint="eastAsia"/>
          <w:b/>
          <w:bCs/>
          <w:color w:val="auto"/>
          <w:szCs w:val="24"/>
        </w:rPr>
      </w:pPr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lastRenderedPageBreak/>
        <w:t xml:space="preserve">G – Monitoraggio – </w:t>
      </w:r>
      <w:proofErr w:type="spellStart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>max</w:t>
      </w:r>
      <w:proofErr w:type="spellEnd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 5</w:t>
      </w:r>
    </w:p>
    <w:p w:rsidR="008B16E2" w:rsidRDefault="008B16E2" w:rsidP="008B16E2">
      <w:pPr>
        <w:pStyle w:val="NormaleWeb"/>
      </w:pPr>
      <w:r>
        <w:t>Concretezza degli indicatori e degli strumenti di valutazione.</w:t>
      </w:r>
    </w:p>
    <w:p w:rsidR="008B16E2" w:rsidRPr="008B16E2" w:rsidRDefault="008B16E2" w:rsidP="008B16E2">
      <w:pPr>
        <w:pStyle w:val="Titolo3"/>
        <w:rPr>
          <w:rFonts w:ascii="Liberation Serif" w:eastAsia="NSimSun" w:hAnsi="Liberation Serif" w:cs="Arial" w:hint="eastAsia"/>
          <w:b/>
          <w:bCs/>
          <w:color w:val="auto"/>
          <w:szCs w:val="24"/>
        </w:rPr>
      </w:pPr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H – Apporti ETS – </w:t>
      </w:r>
      <w:proofErr w:type="spellStart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>max</w:t>
      </w:r>
      <w:proofErr w:type="spellEnd"/>
      <w:r w:rsidRPr="008B16E2">
        <w:rPr>
          <w:rFonts w:ascii="Liberation Serif" w:eastAsia="NSimSun" w:hAnsi="Liberation Serif" w:cs="Arial"/>
          <w:b/>
          <w:bCs/>
          <w:color w:val="auto"/>
          <w:szCs w:val="24"/>
        </w:rPr>
        <w:t xml:space="preserve"> 7</w:t>
      </w:r>
    </w:p>
    <w:p w:rsidR="008B16E2" w:rsidRDefault="008B16E2" w:rsidP="008B16E2">
      <w:pPr>
        <w:pStyle w:val="NormaleWeb"/>
      </w:pPr>
      <w:r>
        <w:t>Qualità, concretezza e utilità degli apporti ulteriori rispetto alle risorse comunali.</w:t>
      </w:r>
    </w:p>
    <w:p w:rsidR="008B16E2" w:rsidRDefault="008B16E2" w:rsidP="008B16E2">
      <w:pPr>
        <w:pStyle w:val="NormaleWeb"/>
      </w:pPr>
      <w:r>
        <w:rPr>
          <w:rStyle w:val="Enfasigrassetto"/>
        </w:rPr>
        <w:t>Soglia minima: 60/100.</w:t>
      </w:r>
    </w:p>
    <w:p w:rsidR="008B16E2" w:rsidRDefault="008B16E2" w:rsidP="008B16E2">
      <w:pPr>
        <w:pStyle w:val="NormaleWeb"/>
      </w:pPr>
      <w:r>
        <w:t xml:space="preserve">In caso di parità, prevale il maggior punteggio ottenuto al criterio </w:t>
      </w:r>
      <w:r>
        <w:rPr>
          <w:rStyle w:val="Enfasigrassetto"/>
        </w:rPr>
        <w:t>B</w:t>
      </w:r>
      <w:r>
        <w:t xml:space="preserve">; in ulteriore parità, al criterio </w:t>
      </w:r>
      <w:r>
        <w:rPr>
          <w:rStyle w:val="Enfasigrassetto"/>
        </w:rPr>
        <w:t>C</w:t>
      </w:r>
      <w:r>
        <w:t>.</w:t>
      </w:r>
    </w:p>
    <w:p w:rsidR="008B16E2" w:rsidRPr="00A308AE" w:rsidRDefault="008B16E2" w:rsidP="008B16E2">
      <w:pPr>
        <w:pStyle w:val="Titolo1"/>
        <w:jc w:val="center"/>
        <w:rPr>
          <w:rFonts w:ascii="Bookman Old Style" w:hAnsi="Bookman Old Style" w:cs="Bookman Old Style"/>
          <w:sz w:val="22"/>
          <w:szCs w:val="22"/>
        </w:rPr>
      </w:pPr>
    </w:p>
    <w:p w:rsidR="003D19EF" w:rsidRDefault="00A974A1" w:rsidP="003D19EF">
      <w:pPr>
        <w:pStyle w:val="NormaleWeb"/>
      </w:pPr>
      <w:r>
        <w:rPr>
          <w:rStyle w:val="Enfasigrassetto"/>
        </w:rPr>
        <w:t xml:space="preserve">Il Legale Rappresentante </w:t>
      </w:r>
    </w:p>
    <w:p w:rsidR="003D19EF" w:rsidRDefault="003D19EF" w:rsidP="003D19EF">
      <w:pPr>
        <w:rPr>
          <w:rFonts w:hint="eastAsia"/>
        </w:rPr>
      </w:pPr>
    </w:p>
    <w:sectPr w:rsidR="003D19E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801" w:rsidRDefault="00FA0801">
      <w:pPr>
        <w:rPr>
          <w:rFonts w:hint="eastAsia"/>
        </w:rPr>
      </w:pPr>
      <w:r>
        <w:separator/>
      </w:r>
    </w:p>
  </w:endnote>
  <w:endnote w:type="continuationSeparator" w:id="0">
    <w:p w:rsidR="00FA0801" w:rsidRDefault="00FA08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801" w:rsidRDefault="00FA080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FA0801" w:rsidRDefault="00FA08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62E5D"/>
    <w:multiLevelType w:val="multilevel"/>
    <w:tmpl w:val="D8283294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2F78593D"/>
    <w:multiLevelType w:val="multilevel"/>
    <w:tmpl w:val="7E2263AE"/>
    <w:lvl w:ilvl="0">
      <w:start w:val="1"/>
      <w:numFmt w:val="decimal"/>
      <w:lvlText w:val="%1."/>
      <w:lvlJc w:val="left"/>
      <w:pPr>
        <w:ind w:left="709" w:hanging="283"/>
      </w:p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30321CEC"/>
    <w:multiLevelType w:val="multilevel"/>
    <w:tmpl w:val="925E9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FB791E"/>
    <w:multiLevelType w:val="multilevel"/>
    <w:tmpl w:val="992A5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0E1A2A"/>
    <w:multiLevelType w:val="multilevel"/>
    <w:tmpl w:val="C11E0EF6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45E23D8C"/>
    <w:multiLevelType w:val="multilevel"/>
    <w:tmpl w:val="D25C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F31F91"/>
    <w:multiLevelType w:val="multilevel"/>
    <w:tmpl w:val="85F8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4F4235"/>
    <w:multiLevelType w:val="multilevel"/>
    <w:tmpl w:val="56BC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2C612A"/>
    <w:multiLevelType w:val="multilevel"/>
    <w:tmpl w:val="915E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70277E"/>
    <w:multiLevelType w:val="multilevel"/>
    <w:tmpl w:val="77C64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5B15E3"/>
    <w:multiLevelType w:val="multilevel"/>
    <w:tmpl w:val="C66C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9802EF"/>
    <w:multiLevelType w:val="multilevel"/>
    <w:tmpl w:val="5FE6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D3059C"/>
    <w:multiLevelType w:val="multilevel"/>
    <w:tmpl w:val="B0986B62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3" w15:restartNumberingAfterBreak="0">
    <w:nsid w:val="675453FA"/>
    <w:multiLevelType w:val="multilevel"/>
    <w:tmpl w:val="C036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AF7D0C"/>
    <w:multiLevelType w:val="multilevel"/>
    <w:tmpl w:val="053C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834906"/>
    <w:multiLevelType w:val="multilevel"/>
    <w:tmpl w:val="5A1A1148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0"/>
  </w:num>
  <w:num w:numId="5">
    <w:abstractNumId w:val="12"/>
  </w:num>
  <w:num w:numId="6">
    <w:abstractNumId w:val="7"/>
  </w:num>
  <w:num w:numId="7">
    <w:abstractNumId w:val="8"/>
  </w:num>
  <w:num w:numId="8">
    <w:abstractNumId w:val="2"/>
  </w:num>
  <w:num w:numId="9">
    <w:abstractNumId w:val="6"/>
  </w:num>
  <w:num w:numId="10">
    <w:abstractNumId w:val="9"/>
  </w:num>
  <w:num w:numId="11">
    <w:abstractNumId w:val="13"/>
  </w:num>
  <w:num w:numId="12">
    <w:abstractNumId w:val="3"/>
  </w:num>
  <w:num w:numId="13">
    <w:abstractNumId w:val="10"/>
  </w:num>
  <w:num w:numId="14">
    <w:abstractNumId w:val="11"/>
  </w:num>
  <w:num w:numId="15">
    <w:abstractNumId w:val="1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529"/>
    <w:rsid w:val="001D65CF"/>
    <w:rsid w:val="003D19EF"/>
    <w:rsid w:val="004F0163"/>
    <w:rsid w:val="00572FBC"/>
    <w:rsid w:val="00586835"/>
    <w:rsid w:val="00673529"/>
    <w:rsid w:val="007103E0"/>
    <w:rsid w:val="00747148"/>
    <w:rsid w:val="007518A9"/>
    <w:rsid w:val="00812F3D"/>
    <w:rsid w:val="008B16E2"/>
    <w:rsid w:val="0096398E"/>
    <w:rsid w:val="00A308AE"/>
    <w:rsid w:val="00A974A1"/>
    <w:rsid w:val="00D329DE"/>
    <w:rsid w:val="00DF441E"/>
    <w:rsid w:val="00F05496"/>
    <w:rsid w:val="00FA0801"/>
    <w:rsid w:val="00FC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212C"/>
  <w15:docId w15:val="{44054451-AE2B-40FF-8495-E8D1A2098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1D65CF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D65C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D65C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Titolo4">
    <w:name w:val="heading 4"/>
    <w:basedOn w:val="Heading"/>
    <w:next w:val="Textbody"/>
    <w:uiPriority w:val="9"/>
    <w:unhideWhenUsed/>
    <w:qFormat/>
    <w:pPr>
      <w:spacing w:before="120" w:after="0"/>
      <w:outlineLvl w:val="3"/>
    </w:pPr>
    <w:rPr>
      <w:rFonts w:ascii="Liberation Serif" w:eastAsia="NSimSun" w:hAnsi="Liberation Serif" w:cs="Liberation Serif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styleId="Collegamentoipertestuale">
    <w:name w:val="Hyperlink"/>
    <w:basedOn w:val="Carpredefinitoparagrafo"/>
    <w:rPr>
      <w:color w:val="467886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5CEC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5CEC"/>
    <w:rPr>
      <w:rFonts w:ascii="Segoe UI" w:hAnsi="Segoe UI" w:cs="Mangal"/>
      <w:sz w:val="18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D65CF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D65CF"/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D65CF"/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NormaleWeb">
    <w:name w:val="Normal (Web)"/>
    <w:basedOn w:val="Normale"/>
    <w:uiPriority w:val="99"/>
    <w:semiHidden/>
    <w:unhideWhenUsed/>
    <w:rsid w:val="001D65C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styleId="Enfasigrassetto">
    <w:name w:val="Strong"/>
    <w:basedOn w:val="Carpredefinitoparagrafo"/>
    <w:uiPriority w:val="22"/>
    <w:qFormat/>
    <w:rsid w:val="001D65CF"/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7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2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2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5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5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5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0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29FA1-FE9A-45A7-B438-B86BCBBE4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Soc. Di Dio</dc:creator>
  <cp:lastModifiedBy>demetra di dio ciantia</cp:lastModifiedBy>
  <cp:revision>3</cp:revision>
  <dcterms:created xsi:type="dcterms:W3CDTF">2026-08-26T09:02:00Z</dcterms:created>
  <dcterms:modified xsi:type="dcterms:W3CDTF">2026-09-01T09:55:00Z</dcterms:modified>
</cp:coreProperties>
</file>